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highlight w:val="none"/>
        </w:rPr>
      </w:pPr>
      <w:bookmarkStart w:id="1" w:name="_GoBack"/>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托克逊县医疗保障局2024年单位预算公开</w:t>
      </w: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line="500" w:lineRule="exact"/>
        <w:jc w:val="center"/>
        <w:outlineLvl w:val="1"/>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widowControl/>
        <w:spacing w:line="600" w:lineRule="exact"/>
        <w:ind w:firstLine="883" w:firstLineChars="200"/>
        <w:outlineLvl w:val="1"/>
        <w:rPr>
          <w:rFonts w:ascii="宋体" w:hAnsi="宋体"/>
          <w:b/>
          <w:color w:val="auto"/>
          <w:kern w:val="0"/>
          <w:sz w:val="44"/>
          <w:szCs w:val="44"/>
          <w:highlight w:val="none"/>
        </w:rPr>
      </w:pP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一、关于托克逊县医疗保障局单位2024年收支预算情况的总体说明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二、关于托克逊县医疗保障局单位2024年收入预算情况说明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三、关于托克逊县医疗保障局单位2024年支出预算情况说明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四、关于托克逊县医疗保障局单位2024年财政拨款收支预算情况的总体说明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五、关于托克逊县医疗保障局单位2024年一般公共预算当年拨款情况说明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六、关于托克逊县医疗保障局单位2024年一般公共预算基本支出情况说明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七、关于托克逊县医疗保障局单位2024年一般公共预算项目支出情况说明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八、关于托克逊县医疗保障局单位2024年政府性基金预算拨款情况说明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九、关于托克逊县医疗保障局单位2024年国有资本经营预算拨款情况说明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十、关于托克逊县医疗保障局单位2024年财政拨款“三公”经费预算情况说明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十一、关于托克逊县医疗保障局单位2024年上年结转结余预算情况说明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第四部分名词解释</w:t>
      </w:r>
    </w:p>
    <w:p>
      <w:pPr>
        <w:widowControl/>
        <w:jc w:val="center"/>
        <w:outlineLvl w:val="1"/>
        <w:rPr>
          <w:rFonts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第一部分2024年单位概况</w:t>
      </w:r>
    </w:p>
    <w:p>
      <w:pPr>
        <w:widowControl/>
        <w:jc w:val="center"/>
        <w:outlineLvl w:val="1"/>
        <w:rPr>
          <w:rFonts w:ascii="宋体" w:hAnsi="宋体"/>
          <w:b/>
          <w:color w:val="auto"/>
          <w:kern w:val="0"/>
          <w:sz w:val="32"/>
          <w:szCs w:val="32"/>
          <w:highlight w:val="none"/>
        </w:rPr>
      </w:pP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贯彻实施国家医疗保险、生育保险、医疗救助等医保障制度,组织落实医疗保障制度法规、政策、规划和标准;组织实施人身意外伤害保险、大额医疗补助、公务员医疗补助、企事业单位补充医疗保险、离休人员和优抚对象医疗保障政策及管理办法;组织实施县本级医疗保险、生育保险等政策。</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（二)组织并实施医疗保障基金监督管理办法,建立健全医疗保障基金安全防控机制,承担推进医疗保障基金支付方式改革工作,编制县医疗保障基金预决算草案。</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(三)组织实施医疗保障筹资和待遇政策,完善动态调整和区城调剂平衡机制,统筹城乡医疗保障待遇标准,建立健全与筹资水平相适应的待遇调整机制。拟订贯彻长期护理保险制度改的方案并组织实施。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四)组织实施药品、医用耗材价格和医疗服务项目、医疗服务设施收费等政策并监督实施,组织实施药品、医用耗材的招标采购政策并监督实施,建立医保支付医药服务价格合理确定和动态调整机制。建立市场主导的社会医药服务价格形成机制,建立医药服务价格信息监测和信息发布制度,指导药品、医用耗林招标采购平台建设。</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(五)组织实施药品、医用耗材、医疗服务项目、医疗服务设施等医保目录和支付标准,建立动态调整机制。</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(六)组织实施定点医药机构协议和支付管理办法,建立健全医疗保障信用评价体系和信息披露制度,监督管理纳入医保范围内的医疗服务行为和医疗费用,依法査处医疗保障、生育保险领城违法违规行为。</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七)负责医疗保障经办管理、公共服务体系和信息化建设贯彻落实国家跨省异地就医管理和费用结算政策,组织实施异地就医和费用结算政策。建立健全医疗保障关系转移接续制度。指导医疗保障经办机构开展业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(八)完成县委、县人民政府交办的其他任务。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九)职能转变。县医疗保障局应完善统一的城乡居民基本医疗保险制度和大病保险制度,建立健全覆盖全民、城乡统筹的多层次医疒保障体系,不断提高医疗保障水平,确保医保资金合理使用、安全可控,推进医疗、医保、医药“三医联动”改草更好保障人民群众就医需求、减轻医药费用负担</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（十)与县卫生健康委员会的有关职责分工。县卫生健康委员会、县医疗保障局等部门在医疗、医保、医药等方面加强制度政策衔接,建立沟通协商机制,协同推进改革,提高医疗资源使用效率和医疗保障水平。</w:t>
      </w: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托克逊县医疗保障局单位无下属预算单位，下设2个处室，分别是：办公室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医药价格和招标采购科），规划财务基金监管科（医药服务待遇保障科）</w:t>
      </w:r>
      <w:r>
        <w:rPr>
          <w:rFonts w:hint="eastAsia" w:ascii="仿宋_GB2312" w:hAnsi="宋体" w:eastAsia="仿宋_GB2312" w:cs="宋体"/>
          <w:color w:val="auto"/>
          <w:kern w:val="0"/>
          <w:sz w:val="32"/>
          <w:szCs w:val="32"/>
          <w:highlight w:val="none"/>
        </w:rPr>
        <w:t>。</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托克逊县医疗保障局单位编制数8，实有人数6人，其中：在职6人，增加0人；退休0人，增加0人；离休0人，增加0人。</w:t>
      </w:r>
    </w:p>
    <w:p>
      <w:pPr>
        <w:widowControl/>
        <w:spacing w:before="156" w:beforeLines="50"/>
        <w:jc w:val="center"/>
        <w:outlineLvl w:val="1"/>
        <w:rPr>
          <w:rFonts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第二部分2024年单位预算公开表</w:t>
      </w:r>
    </w:p>
    <w:p>
      <w:pPr>
        <w:widowControl/>
        <w:spacing w:before="156" w:beforeLines="50"/>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167.30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167.15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165.15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17.36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136.09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167.30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167.30</w:t>
            </w:r>
          </w:p>
        </w:tc>
      </w:tr>
    </w:tbl>
    <w:p>
      <w:pPr>
        <w:widowControl/>
        <w:jc w:val="left"/>
        <w:outlineLvl w:val="1"/>
        <w:rPr>
          <w:rFonts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17.36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17.36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17.36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17.36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136.09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135.94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133.94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7.37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医疗保障管理事务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127.28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127.13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125.13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125.13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125.13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其他医疗保障管理事务支出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167.30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167.15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165.15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bl>
    <w:p>
      <w:pPr>
        <w:widowControl/>
        <w:jc w:val="left"/>
        <w:outlineLvl w:val="1"/>
        <w:rPr>
          <w:rFonts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编制单位：托克逊县医疗保障局</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17.36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17.36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17.36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17.36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17.36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17.36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136.09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133.94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8.81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8.81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7.37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医疗保障管理事务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127.28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125.13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125.28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125.13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其他医疗保障管理事务支出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167.30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165.15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2.15</w:t>
            </w:r>
          </w:p>
        </w:tc>
      </w:tr>
    </w:tbl>
    <w:p>
      <w:pPr>
        <w:widowControl/>
        <w:spacing w:before="120" w:beforeLines="50"/>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pPr>
        <w:widowControl/>
        <w:spacing w:before="120" w:beforeLines="50"/>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167.15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167.15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17.36</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17.36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135.94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135.94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167.15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167.15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167.15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pPr>
        <w:widowControl/>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17.36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135.94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133.94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8.81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8.81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医疗保障管理事务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127.13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125.13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125.13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125.13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其他医疗保障管理事务支出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167.15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165.15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156.57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156.57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29.45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29.45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28.20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19.16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19.16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17.36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17.36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7.37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7.37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39.35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8.58</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4.26</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0.90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0.90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0.72</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2.10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2.10</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165.15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156.57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8.58</w:t>
            </w:r>
          </w:p>
        </w:tc>
      </w:tr>
    </w:tbl>
    <w:p>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pPr>
        <w:jc w:val="center"/>
        <w:rPr>
          <w:rFonts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pPr>
              <w:jc w:val="center"/>
              <w:rPr>
                <w:color w:val="auto"/>
                <w:sz w:val="20"/>
                <w:szCs w:val="20"/>
                <w:highlight w:val="none"/>
              </w:rPr>
            </w:pPr>
          </w:p>
        </w:tc>
        <w:tc>
          <w:tcPr>
            <w:tcW w:w="2170" w:type="dxa"/>
            <w:vMerge w:val="continue"/>
            <w:shd w:val="clear" w:color="auto" w:fill="auto"/>
            <w:vAlign w:val="center"/>
          </w:tcPr>
          <w:p>
            <w:pPr>
              <w:jc w:val="center"/>
              <w:rPr>
                <w:color w:val="auto"/>
                <w:sz w:val="20"/>
                <w:szCs w:val="20"/>
                <w:highlight w:val="none"/>
              </w:rPr>
            </w:pPr>
          </w:p>
        </w:tc>
        <w:tc>
          <w:tcPr>
            <w:tcW w:w="950" w:type="dxa"/>
            <w:vMerge w:val="continue"/>
            <w:shd w:val="clear" w:color="auto" w:fill="auto"/>
            <w:vAlign w:val="center"/>
          </w:tcPr>
          <w:p>
            <w:pPr>
              <w:jc w:val="center"/>
              <w:rPr>
                <w:color w:val="auto"/>
                <w:sz w:val="20"/>
                <w:szCs w:val="20"/>
                <w:highlight w:val="none"/>
              </w:rPr>
            </w:pPr>
          </w:p>
        </w:tc>
        <w:tc>
          <w:tcPr>
            <w:tcW w:w="720" w:type="dxa"/>
            <w:vMerge w:val="continue"/>
            <w:shd w:val="clear" w:color="auto" w:fill="auto"/>
            <w:vAlign w:val="center"/>
          </w:tcPr>
          <w:p>
            <w:pPr>
              <w:jc w:val="center"/>
              <w:rPr>
                <w:color w:val="auto"/>
                <w:sz w:val="20"/>
                <w:szCs w:val="20"/>
                <w:highlight w:val="none"/>
              </w:rPr>
            </w:pPr>
          </w:p>
        </w:tc>
        <w:tc>
          <w:tcPr>
            <w:tcW w:w="820" w:type="dxa"/>
            <w:vMerge w:val="continue"/>
            <w:shd w:val="clear" w:color="auto" w:fill="auto"/>
            <w:vAlign w:val="center"/>
          </w:tcPr>
          <w:p>
            <w:pPr>
              <w:jc w:val="center"/>
              <w:rPr>
                <w:color w:val="auto"/>
                <w:sz w:val="20"/>
                <w:szCs w:val="20"/>
                <w:highlight w:val="none"/>
              </w:rPr>
            </w:pPr>
          </w:p>
        </w:tc>
        <w:tc>
          <w:tcPr>
            <w:tcW w:w="67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90" w:type="dxa"/>
            <w:vMerge w:val="continue"/>
            <w:shd w:val="clear" w:color="auto" w:fill="auto"/>
          </w:tcPr>
          <w:p>
            <w:pPr>
              <w:jc w:val="center"/>
              <w:rPr>
                <w:color w:val="auto"/>
                <w:sz w:val="20"/>
                <w:szCs w:val="20"/>
                <w:highlight w:val="none"/>
              </w:rPr>
            </w:pPr>
          </w:p>
        </w:tc>
        <w:tc>
          <w:tcPr>
            <w:tcW w:w="64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tcPr>
          <w:p>
            <w:pPr>
              <w:jc w:val="center"/>
              <w:rPr>
                <w:color w:val="auto"/>
                <w:sz w:val="20"/>
                <w:szCs w:val="20"/>
                <w:highlight w:val="none"/>
              </w:rPr>
            </w:pPr>
          </w:p>
        </w:tc>
        <w:tc>
          <w:tcPr>
            <w:tcW w:w="620" w:type="dxa"/>
            <w:vMerge w:val="continue"/>
            <w:shd w:val="clear" w:color="auto" w:fill="auto"/>
          </w:tcPr>
          <w:p>
            <w:pPr>
              <w:jc w:val="center"/>
              <w:rPr>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15</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医疗保障管理事务</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15</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其他医疗保障管理事务支出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吐市财社[2023]103号2024年自治区财政全民参保及医疗服务经费补助资金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15</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其他医疗保障管理事务支出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吐市财社[2023]67号2024年中央财政医疗服务与保障能力提升补助资金（医疗保障服务能力建设部分）</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p>
        </w:tc>
        <w:tc>
          <w:tcPr>
            <w:tcW w:w="2170"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bl>
    <w:p>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备注：托克逊县医疗保障局2024年没有使用政府性基金预算拨款安排的支出，政府性基金预算支出情况表为空表。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备注：托克逊县医疗保障局2024年没有使用国有资本经营预算拨款安排的支出，国有资本经营预算支出情况表为空表。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pPr>
        <w:widowControl/>
        <w:jc w:val="center"/>
        <w:outlineLvl w:val="1"/>
        <w:rPr>
          <w:rFonts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备注：托克逊县医疗保障局2024年未安排三公经费预算，三公经费支出情况表为空表。</w:t>
      </w:r>
    </w:p>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pPr>
        <w:widowControl/>
        <w:jc w:val="center"/>
        <w:outlineLvl w:val="1"/>
        <w:rPr>
          <w:rFonts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编制单位：托克逊县医疗保障局</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备注：托克逊县医疗保障局2024年无上年结转结余预算的支出，结转结余预算支出情况表为空表。</w:t>
      </w:r>
    </w:p>
    <w:p>
      <w:pPr>
        <w:widowControl/>
        <w:jc w:val="left"/>
        <w:outlineLvl w:val="1"/>
        <w:rPr>
          <w:rFonts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第三部分2024年单位预算情况说明</w:t>
      </w:r>
    </w:p>
    <w:p>
      <w:pPr>
        <w:spacing w:line="560" w:lineRule="exact"/>
        <w:jc w:val="center"/>
        <w:rPr>
          <w:rFonts w:ascii="楷体_GB2312" w:hAnsi="楷体_GB2312" w:eastAsia="楷体_GB2312"/>
          <w:color w:val="auto"/>
          <w:kern w:val="0"/>
          <w:sz w:val="32"/>
          <w:szCs w:val="32"/>
          <w:highlight w:val="none"/>
        </w:rPr>
      </w:pP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关于托克逊县医疗保障局单位2024年收支预算情况的总体说明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按照全口径预算的原则，托克逊县医疗保障局单位2024年所有收入和支出均纳入单位预算管理。收支总预算167.30万元。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二、关于托克逊县医疗保障局单位2024年收入预算情况说明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托克逊县医疗保障局单位收入预算167.30万元，其中：</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一般公共预算165.15万元，占98.71%，比上年预算减少3.98万元，下降2.35%，主要原因是2024年参保补助经费资金地方编人员未做预算，因此比上年有所下降</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上级一般公共预算安排的转移支付2.00万元，占1.20%，比上年预算减少8.00万元，下降80.00%，主要原因是2024年自治区财政全民参保及医疗服务经费补助资金</w:t>
      </w:r>
      <w:r>
        <w:rPr>
          <w:rFonts w:hint="eastAsia" w:ascii="仿宋_GB2312" w:hAnsi="宋体" w:eastAsia="仿宋_GB2312" w:cs="宋体"/>
          <w:color w:val="auto"/>
          <w:kern w:val="0"/>
          <w:sz w:val="32"/>
          <w:szCs w:val="32"/>
          <w:highlight w:val="none"/>
          <w:lang w:val="en-US" w:eastAsia="zh-CN"/>
        </w:rPr>
        <w:t>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单位资金0.15万元，占0.09%，比上年预算减少613.57万元，下降99.98%，主要原因是2024年预算取消代收职工补充医疗保险资金，因此比上年预算减少</w:t>
      </w:r>
      <w:r>
        <w:rPr>
          <w:rFonts w:hint="eastAsia" w:ascii="仿宋_GB2312" w:hAnsi="宋体" w:eastAsia="仿宋_GB2312" w:cs="宋体"/>
          <w:color w:val="auto"/>
          <w:kern w:val="0"/>
          <w:sz w:val="32"/>
          <w:szCs w:val="32"/>
          <w:highlight w:val="none"/>
          <w:lang w:eastAsia="zh-CN"/>
        </w:rPr>
        <w:t>。</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三、关于托克逊县医疗保障局单位2024年支出预算情况说明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托克逊县医疗保障局单位2024年支出预算167.30万元，其中：</w:t>
      </w:r>
    </w:p>
    <w:p>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基本支出165.15万元，占98.71%，比上年预算减少3.98万元，下降2.35%，主要原因是2024年参保补助经费资金地方编人员未做预算，因此比上年有所下降。</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项目支出2.15万元，占1.29%，比上年预算减少621.57万元，下降99.66%，主要原因是2024年预算取消代收职工补充医疗保险资金，因此比上年预算减少。</w:t>
      </w:r>
    </w:p>
    <w:p>
      <w:pPr>
        <w:spacing w:line="56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四、关于托克逊县医疗保障局单位2024年财政拨款收支预算情况的总体说明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2024年财政拨款收支总预算167.15万元。</w:t>
      </w:r>
    </w:p>
    <w:p>
      <w:pPr>
        <w:spacing w:line="560" w:lineRule="exact"/>
        <w:ind w:firstLine="616" w:firstLineChars="200"/>
        <w:rPr>
          <w:rFonts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收入预算包括：一般公共预算拨款167.15万元。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17.36万元，主要用于单位人员社保缴费支出;卫生健康支出135.94万元，主要用于保障单位正常运行的人员经费、公用经费支出及单位人员医疗保险缴费支出;住房保障支出13.85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五、关于托克逊县医疗保障局单位2024年一般公共预算当年拨款情况说明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托克逊县医疗保障局单位2024年一般公共预算拨款合计167.15万元，其中：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基本支出165.15万元，比上年预算减少3.98万元，下降2.35%。主要原因是：2024年参保补助经费资金地方编人员未做预算，因此比上年有所下降。</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项目支出2.00万元，比上年预算减少8.00万元，下降80.00%。主要原因是：2024年预算取消代收职工补充医疗保险资金，因此比上年预算减少。</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1.社会保障和就业支出（类）17.36万元，占10.39%。</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2.卫生健康支出（类）135.94万元，占81.33%。</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3.住房保障支出（类）13.85万元，占8.2</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类）行政事业单位养老支出（款）机关事业单位基本养老保险缴费支出（项）：2024年预算数为17.36万元，比上年预算增加0.61万元，增长3.64%，主要原因是：本年工资调增，机关事业单位基本养老保险缴费基数增加，导致该款项支出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卫生健康支出（类）行政事业单位医疗（款）行政单位医疗（项）：2024年预算数为7.37万元，比上年预算增加0.26万元，增长3.66%，主要原因是：本年工资调增，行政单位医疗缴费基数调整，导致该款项支出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卫生健康支出（类）行政事业单位医疗（款）公务员医疗补助（项）：2024年预算数为1.44万元，比上年预算增加0.04万元，增长2.86%，主要原因是：本年工资调增，公务员医疗补助基数增加，导致该款项支出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4.卫生健康支出（类）医疗保障管理事务（款）行政运行（项）：2024年预算数为125.13万元，比上年预算增加2.85万元，增长2.33%，主要原因是：本年工资调增，</w:t>
      </w:r>
      <w:r>
        <w:rPr>
          <w:rFonts w:hint="eastAsia" w:ascii="仿宋_GB2312" w:hAnsi="宋体" w:eastAsia="仿宋_GB2312" w:cs="宋体"/>
          <w:color w:val="auto"/>
          <w:kern w:val="0"/>
          <w:sz w:val="32"/>
          <w:szCs w:val="32"/>
          <w:highlight w:val="none"/>
          <w:lang w:val="en-US" w:eastAsia="zh-CN"/>
        </w:rPr>
        <w:t>人员工资及公用经费增加</w:t>
      </w:r>
      <w:r>
        <w:rPr>
          <w:rFonts w:hint="eastAsia" w:ascii="仿宋_GB2312" w:hAnsi="宋体" w:eastAsia="仿宋_GB2312" w:cs="宋体"/>
          <w:color w:val="auto"/>
          <w:kern w:val="0"/>
          <w:sz w:val="32"/>
          <w:szCs w:val="32"/>
          <w:highlight w:val="none"/>
        </w:rPr>
        <w:t>，导致该款项支出比上年增加。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5.卫生健康支出（类）医疗保障管理事务（款）其他医疗保障管理事务支出（项）：2024年预算数为2.00万元，比上年预算减少8.00万元，下降80.00%，主要原因是：今年全面参保经费，提升能力建设资金安排</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，因此预算比例下降。</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6.住房保障支出（类）住房改革支出（款）住房公积金（项）：2024年预算数为13.85万元，比上年预算增加0.63万元，增长4.77%，主要原因是：本年工资调增，住房公积金基数调增，因此预算较上年有所增加。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社会保障和就业支出（类）行政事业单位养老支出（款）机关事业单位职业年金缴费支出（项）：2024年预算数为0.00万元，比上年预算减少8.37万元，下降100.00%，主要原因是：本年度职业年金预算由政府（财政）预算代列，未体现在部门预算里，导致本单位该项预算较上年减少。</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六、关于托克逊县医疗保障局单位2024年一般公共预算基本支出情况说明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托克逊县医疗保障局单位2024年一般公共预算基本支出165.15万元，其中：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人员经费156.57万元，主要包括：基本工资、津贴补贴、奖金、机关事业单位基本养老保险缴费、职工基本医疗保险缴费、公务员医疗补助缴费、其他社会保障缴费、住房公积金、其他工资福利支出。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公用经费8.58万元，主要包括：办公费、水费、电费、邮电费、差旅费、工会经费。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七、关于托克逊县医疗保障局单位2024年一般公共预算项目支出情况说明</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（一）项目名称：吐市财社[2023]103号2024年自治区财政全民参保及医疗服务经费补助资金</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设立的政策依据：关于提前下达吐市财社[2023]103号2024年自治区财政全面参保及医疗服务经费补助资金预算的通知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项目承担单位：托克逊县医疗保障局</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资金分配情况：用于办公经费及印刷费用计5000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元，用于开展指导检查差旅费5000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w:t>
      </w:r>
      <w:r>
        <w:rPr>
          <w:rFonts w:hint="eastAsia" w:ascii="仿宋_GB2312" w:hAnsi="黑体" w:eastAsia="仿宋_GB2312"/>
          <w:color w:val="auto"/>
          <w:sz w:val="32"/>
          <w:szCs w:val="32"/>
          <w:highlight w:val="none"/>
          <w:lang w:val="en-US" w:eastAsia="zh-CN"/>
        </w:rPr>
        <w:t>-2024年</w:t>
      </w:r>
      <w:r>
        <w:rPr>
          <w:rFonts w:ascii="仿宋_GB2312" w:hAnsi="黑体" w:eastAsia="仿宋_GB2312"/>
          <w:color w:val="auto"/>
          <w:sz w:val="32"/>
          <w:szCs w:val="32"/>
          <w:highlight w:val="none"/>
        </w:rPr>
        <w:t>12月31日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（二）项目名称：吐市财社[2023]67号2024年中央财政医疗服务与保障能力提升补助资金（医疗保障服务能力建设部分）</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依据：关于提前下达吐市财社[2023]67号2024年中央财政医疗服务与保障能力提升经费补助资金（医疗保障服务能力建设部分）预算的通知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项目承担单位：托克逊县医疗保障局</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资金分配情况：该资金用于到福建参加基金能力提升的培训会议费1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w:t>
      </w:r>
      <w:r>
        <w:rPr>
          <w:rFonts w:hint="eastAsia" w:ascii="仿宋_GB2312" w:hAnsi="黑体" w:eastAsia="仿宋_GB2312"/>
          <w:color w:val="auto"/>
          <w:sz w:val="32"/>
          <w:szCs w:val="32"/>
          <w:highlight w:val="none"/>
          <w:lang w:val="en-US" w:eastAsia="zh-CN"/>
        </w:rPr>
        <w:t>-2024年</w:t>
      </w:r>
      <w:r>
        <w:rPr>
          <w:rFonts w:ascii="仿宋_GB2312" w:hAnsi="黑体" w:eastAsia="仿宋_GB2312"/>
          <w:color w:val="auto"/>
          <w:sz w:val="32"/>
          <w:szCs w:val="32"/>
          <w:highlight w:val="none"/>
        </w:rPr>
        <w:t>12月31日</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八、关于托克逊县医疗保障局单位2024年政府性基金预算拨款情况说明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九、关于托克逊县医疗保障局单位2024年国有资本经营预算拨款情况说明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十、关于托克逊县医疗保障局单位2024年财政拨款“三公”经费预算情况说明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十一、关于托克逊县医疗保障局单位2024年上年结转结余预算情况说明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托克逊县医疗保障局单位2024年的机关运行经费财政拨款预算8.58万元，比上年预算减少2.44万元，下降22.14%。主要原因是</w:t>
      </w:r>
      <w:r>
        <w:rPr>
          <w:rFonts w:hint="eastAsia" w:ascii="仿宋_GB2312" w:hAnsi="宋体" w:eastAsia="仿宋_GB2312" w:cs="宋体"/>
          <w:color w:val="auto"/>
          <w:kern w:val="0"/>
          <w:sz w:val="32"/>
          <w:szCs w:val="32"/>
          <w:highlight w:val="none"/>
          <w:lang w:val="en-US" w:eastAsia="zh-CN"/>
        </w:rPr>
        <w:t>福利费减少</w:t>
      </w:r>
      <w:r>
        <w:rPr>
          <w:rFonts w:hint="eastAsia" w:ascii="仿宋_GB2312" w:hAnsi="宋体" w:eastAsia="仿宋_GB2312" w:cs="宋体"/>
          <w:color w:val="auto"/>
          <w:kern w:val="0"/>
          <w:sz w:val="32"/>
          <w:szCs w:val="32"/>
          <w:highlight w:val="none"/>
        </w:rPr>
        <w:t>，因此机关运行经费比上年有所下降。</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2024年，托克逊县医疗保障局单位政府采购预算2.09万元，其中：政府采购货物预算0</w:t>
      </w:r>
      <w:r>
        <w:rPr>
          <w:rFonts w:hint="eastAsia" w:ascii="仿宋_GB2312" w:hAnsi="黑体" w:eastAsia="仿宋_GB2312"/>
          <w:color w:val="auto"/>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万元，政府采购工程预算0</w:t>
      </w:r>
      <w:r>
        <w:rPr>
          <w:rFonts w:hint="eastAsia" w:ascii="仿宋_GB2312" w:hAnsi="黑体" w:eastAsia="仿宋_GB2312"/>
          <w:color w:val="auto"/>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万元，政府采购服务预算0</w:t>
      </w:r>
      <w:r>
        <w:rPr>
          <w:rFonts w:hint="eastAsia" w:ascii="仿宋_GB2312" w:hAnsi="黑体" w:eastAsia="仿宋_GB2312"/>
          <w:color w:val="auto"/>
          <w:sz w:val="32"/>
          <w:szCs w:val="32"/>
          <w:highlight w:val="none"/>
          <w:lang w:val="en-US" w:eastAsia="zh-CN"/>
        </w:rPr>
        <w:t>.00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2024年，托克逊县医疗保障局单位面向中小企业预留政府采购项目预算金额2.09万元，小微企业预留政府采购项目预算金额2.09万元。</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截至2023年底，托克逊县医疗保障局单位及下属各预算单位占用使用国有资产总体情况为：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1.房屋0平方米，价值0万元。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3.办公家具价值4.73万元。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4.其他资产价值29.14万元。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167.3</w:t>
      </w:r>
      <w:r>
        <w:rPr>
          <w:rFonts w:hint="eastAsia" w:ascii="仿宋_GB2312" w:hAnsi="宋体" w:eastAsia="仿宋_GB2312" w:cs="宋体"/>
          <w:color w:val="auto"/>
          <w:kern w:val="0"/>
          <w:sz w:val="32"/>
          <w:szCs w:val="32"/>
          <w:highlight w:val="none"/>
        </w:rPr>
        <w:t>0万元；当年财政拨款项目2个，涉及预算金额2.00万元；当年非财政拨款项目</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个，涉及预算金额0.15万元。具体情况见下表：</w:t>
      </w:r>
    </w:p>
    <w:p>
      <w:pPr>
        <w:widowControl/>
        <w:spacing w:line="600" w:lineRule="exact"/>
        <w:rPr>
          <w:rFonts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486" w:type="dxa"/>
        <w:jc w:val="center"/>
        <w:tblLayout w:type="autofit"/>
        <w:tblCellMar>
          <w:top w:w="0" w:type="dxa"/>
          <w:left w:w="108" w:type="dxa"/>
          <w:bottom w:w="0" w:type="dxa"/>
          <w:right w:w="108" w:type="dxa"/>
        </w:tblCellMar>
      </w:tblPr>
      <w:tblGrid>
        <w:gridCol w:w="1113"/>
        <w:gridCol w:w="1415"/>
        <w:gridCol w:w="2952"/>
        <w:gridCol w:w="1157"/>
        <w:gridCol w:w="1990"/>
        <w:gridCol w:w="1859"/>
      </w:tblGrid>
      <w:tr>
        <w:tblPrEx>
          <w:tblCellMar>
            <w:top w:w="0" w:type="dxa"/>
            <w:left w:w="108" w:type="dxa"/>
            <w:bottom w:w="0" w:type="dxa"/>
            <w:right w:w="108" w:type="dxa"/>
          </w:tblCellMar>
        </w:tblPrEx>
        <w:trPr>
          <w:trHeight w:val="854" w:hRule="atLeast"/>
          <w:jc w:val="center"/>
        </w:trPr>
        <w:tc>
          <w:tcPr>
            <w:tcW w:w="10486"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tblPrEx>
          <w:tblCellMar>
            <w:top w:w="0" w:type="dxa"/>
            <w:left w:w="108" w:type="dxa"/>
            <w:bottom w:w="0" w:type="dxa"/>
            <w:right w:w="108" w:type="dxa"/>
          </w:tblCellMar>
        </w:tblPrEx>
        <w:trPr>
          <w:trHeight w:val="476" w:hRule="atLeast"/>
          <w:jc w:val="center"/>
        </w:trPr>
        <w:tc>
          <w:tcPr>
            <w:tcW w:w="10486"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highlight w:val="none"/>
              </w:rPr>
            </w:pPr>
            <w:r>
              <w:rPr>
                <w:rFonts w:hint="eastAsia" w:ascii="宋体" w:hAnsi="宋体" w:cs="宋体"/>
                <w:color w:val="auto"/>
                <w:sz w:val="24"/>
                <w:highlight w:val="none"/>
              </w:rPr>
              <w:t>（2024年）</w:t>
            </w:r>
          </w:p>
        </w:tc>
      </w:tr>
      <w:tr>
        <w:tblPrEx>
          <w:tblCellMar>
            <w:top w:w="0" w:type="dxa"/>
            <w:left w:w="108" w:type="dxa"/>
            <w:bottom w:w="0" w:type="dxa"/>
            <w:right w:w="108" w:type="dxa"/>
          </w:tblCellMar>
        </w:tblPrEx>
        <w:trPr>
          <w:trHeight w:val="635"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9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托克逊县医疗保障局</w:t>
            </w:r>
          </w:p>
        </w:tc>
      </w:tr>
      <w:tr>
        <w:tblPrEx>
          <w:tblCellMar>
            <w:top w:w="0" w:type="dxa"/>
            <w:left w:w="108" w:type="dxa"/>
            <w:bottom w:w="0" w:type="dxa"/>
            <w:right w:w="108" w:type="dxa"/>
          </w:tblCellMar>
        </w:tblPrEx>
        <w:trPr>
          <w:trHeight w:val="635" w:hRule="atLeast"/>
          <w:jc w:val="center"/>
        </w:trPr>
        <w:tc>
          <w:tcPr>
            <w:tcW w:w="252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41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亚森</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18909953632</w:t>
            </w:r>
          </w:p>
        </w:tc>
      </w:tr>
      <w:tr>
        <w:tblPrEx>
          <w:tblCellMar>
            <w:top w:w="0" w:type="dxa"/>
            <w:left w:w="108" w:type="dxa"/>
            <w:bottom w:w="0" w:type="dxa"/>
            <w:right w:w="108" w:type="dxa"/>
          </w:tblCellMar>
        </w:tblPrEx>
        <w:trPr>
          <w:trHeight w:val="1768"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958" w:type="dxa"/>
            <w:gridSpan w:val="4"/>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1；继续做好2024年度全民参保缴费工作，加强医保政策宣传，提升全县城乡居民对医保政策的知晓率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2：完善多层次医疗保障体系，定期或不定期对两定机构开展稽核，做好医保基金监管工作。</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3：常态化做好困难群众大额医疗费用监测工作，做好DRG支付方式培训相关工作，为DRG医保支付改革后期工作顺利实施奠定基础。</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4：全面推进医保重点领域改革，保障我县医保工作正常顺利运行。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5：重拳打击欺诈骗保违法行为，贯彻落实国家药品和医用耗材集中带量采购政策，提升公共医疗机构药品网采率。</w:t>
            </w:r>
          </w:p>
        </w:tc>
      </w:tr>
      <w:tr>
        <w:tblPrEx>
          <w:tblCellMar>
            <w:top w:w="0" w:type="dxa"/>
            <w:left w:w="108" w:type="dxa"/>
            <w:bottom w:w="0" w:type="dxa"/>
            <w:right w:w="108" w:type="dxa"/>
          </w:tblCellMar>
        </w:tblPrEx>
        <w:trPr>
          <w:trHeight w:val="595" w:hRule="atLeast"/>
          <w:jc w:val="center"/>
        </w:trPr>
        <w:tc>
          <w:tcPr>
            <w:tcW w:w="2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41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8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tblPrEx>
          <w:tblCellMar>
            <w:top w:w="0" w:type="dxa"/>
            <w:left w:w="108" w:type="dxa"/>
            <w:bottom w:w="0" w:type="dxa"/>
            <w:right w:w="108" w:type="dxa"/>
          </w:tblCellMar>
        </w:tblPrEx>
        <w:trPr>
          <w:trHeight w:val="436" w:hRule="atLeast"/>
          <w:jc w:val="center"/>
        </w:trPr>
        <w:tc>
          <w:tcPr>
            <w:tcW w:w="2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95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w:t>
            </w:r>
          </w:p>
        </w:tc>
      </w:tr>
      <w:tr>
        <w:tblPrEx>
          <w:tblCellMar>
            <w:top w:w="0" w:type="dxa"/>
            <w:left w:w="108" w:type="dxa"/>
            <w:bottom w:w="0" w:type="dxa"/>
            <w:right w:w="108" w:type="dxa"/>
          </w:tblCellMar>
        </w:tblPrEx>
        <w:trPr>
          <w:trHeight w:val="476" w:hRule="atLeast"/>
          <w:jc w:val="center"/>
        </w:trPr>
        <w:tc>
          <w:tcPr>
            <w:tcW w:w="2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952"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165.15</w:t>
            </w:r>
          </w:p>
        </w:tc>
      </w:tr>
      <w:tr>
        <w:tblPrEx>
          <w:tblCellMar>
            <w:top w:w="0" w:type="dxa"/>
            <w:left w:w="108" w:type="dxa"/>
            <w:bottom w:w="0" w:type="dxa"/>
            <w:right w:w="108" w:type="dxa"/>
          </w:tblCellMar>
        </w:tblPrEx>
        <w:trPr>
          <w:trHeight w:val="476" w:hRule="atLeast"/>
          <w:jc w:val="center"/>
        </w:trPr>
        <w:tc>
          <w:tcPr>
            <w:tcW w:w="2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9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8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0.15</w:t>
            </w:r>
          </w:p>
        </w:tc>
      </w:tr>
      <w:tr>
        <w:tblPrEx>
          <w:tblCellMar>
            <w:top w:w="0" w:type="dxa"/>
            <w:left w:w="108" w:type="dxa"/>
            <w:bottom w:w="0" w:type="dxa"/>
            <w:right w:w="108" w:type="dxa"/>
          </w:tblCellMar>
        </w:tblPrEx>
        <w:trPr>
          <w:trHeight w:val="535" w:hRule="atLeast"/>
          <w:jc w:val="center"/>
        </w:trPr>
        <w:tc>
          <w:tcPr>
            <w:tcW w:w="111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9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tblPrEx>
          <w:tblCellMar>
            <w:top w:w="0" w:type="dxa"/>
            <w:left w:w="108" w:type="dxa"/>
            <w:bottom w:w="0" w:type="dxa"/>
            <w:right w:w="108" w:type="dxa"/>
          </w:tblCellMar>
        </w:tblPrEx>
        <w:trPr>
          <w:trHeight w:val="476" w:hRule="atLeast"/>
          <w:jc w:val="center"/>
        </w:trPr>
        <w:tc>
          <w:tcPr>
            <w:tcW w:w="11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城乡居民基本医疗参保缴费政策宣传次数</w:t>
            </w:r>
          </w:p>
        </w:tc>
        <w:tc>
          <w:tcPr>
            <w:tcW w:w="115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≧10次</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居民基本医疗参保人数</w:t>
            </w:r>
          </w:p>
        </w:tc>
        <w:tc>
          <w:tcPr>
            <w:tcW w:w="115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≧8万人</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医疗救助人数</w:t>
            </w:r>
          </w:p>
        </w:tc>
        <w:tc>
          <w:tcPr>
            <w:tcW w:w="115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≧1000人</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95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医保基金监管点个数</w:t>
            </w:r>
          </w:p>
        </w:tc>
        <w:tc>
          <w:tcPr>
            <w:tcW w:w="115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≧57家</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952"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DRG支付方式培训次数</w:t>
            </w:r>
          </w:p>
        </w:tc>
        <w:tc>
          <w:tcPr>
            <w:tcW w:w="1157"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≧2次</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952"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“双随机、一公开”联合抽查比例</w:t>
            </w:r>
          </w:p>
        </w:tc>
        <w:tc>
          <w:tcPr>
            <w:tcW w:w="1157"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r>
      <w:tr>
        <w:tblPrEx>
          <w:tblCellMar>
            <w:top w:w="0" w:type="dxa"/>
            <w:left w:w="108" w:type="dxa"/>
            <w:bottom w:w="0" w:type="dxa"/>
            <w:right w:w="108" w:type="dxa"/>
          </w:tblCellMar>
        </w:tblPrEx>
        <w:trPr>
          <w:trHeight w:val="476" w:hRule="atLeast"/>
          <w:jc w:val="center"/>
        </w:trPr>
        <w:tc>
          <w:tcPr>
            <w:tcW w:w="111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952"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公立医疗机构药品网采率</w:t>
            </w:r>
          </w:p>
        </w:tc>
        <w:tc>
          <w:tcPr>
            <w:tcW w:w="1157"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≧90.0%</w:t>
            </w:r>
          </w:p>
        </w:tc>
        <w:tc>
          <w:tcPr>
            <w:tcW w:w="1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2023年度工作总结及计2024年度工作计划</w:t>
            </w:r>
          </w:p>
        </w:tc>
        <w:tc>
          <w:tcPr>
            <w:tcW w:w="18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r>
    </w:tbl>
    <w:p>
      <w:pPr>
        <w:jc w:val="center"/>
        <w:rPr>
          <w:rFonts w:ascii="宋体" w:hAnsi="宋体"/>
          <w:color w:val="auto"/>
          <w:sz w:val="18"/>
          <w:szCs w:val="18"/>
          <w:highlight w:val="none"/>
        </w:rPr>
      </w:pPr>
    </w:p>
    <w:p>
      <w:pPr>
        <w:widowControl/>
        <w:jc w:val="center"/>
        <w:rPr>
          <w:rFonts w:ascii="宋体" w:hAnsi="宋体"/>
          <w:color w:val="auto"/>
          <w:sz w:val="18"/>
          <w:szCs w:val="18"/>
          <w:highlight w:val="none"/>
        </w:rPr>
      </w:pPr>
      <w:r>
        <w:rPr>
          <w:rFonts w:ascii="宋体" w:hAnsi="宋体"/>
          <w:color w:val="auto"/>
          <w:sz w:val="18"/>
          <w:szCs w:val="18"/>
          <w:highlight w:val="none"/>
        </w:rPr>
        <w:br w:type="page"/>
      </w:r>
    </w:p>
    <w:p>
      <w:pPr>
        <w:widowControl/>
        <w:spacing w:line="520" w:lineRule="exact"/>
        <w:ind w:firstLine="630" w:firstLineChars="196"/>
        <w:jc w:val="left"/>
        <w:rPr>
          <w:rFonts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pPr>
        <w:spacing w:line="520" w:lineRule="exact"/>
        <w:ind w:firstLine="640" w:firstLineChars="200"/>
        <w:rPr>
          <w:rFonts w:hint="eastAsia" w:ascii="仿宋_GB2312" w:hAnsi="黑体" w:eastAsia="仿宋_GB2312" w:cs="Times New Roman"/>
          <w:color w:val="auto"/>
          <w:sz w:val="32"/>
          <w:szCs w:val="32"/>
          <w:highlight w:val="none"/>
          <w14:ligatures w14:val="none"/>
        </w:rPr>
      </w:pPr>
      <w:bookmarkStart w:id="0" w:name="_Hlk169204404"/>
      <w:r>
        <w:rPr>
          <w:rFonts w:hint="eastAsia" w:ascii="仿宋_GB2312" w:hAnsi="黑体" w:eastAsia="仿宋_GB2312" w:cs="Times New Roman"/>
          <w:color w:val="auto"/>
          <w:sz w:val="32"/>
          <w:szCs w:val="32"/>
          <w:highlight w:val="none"/>
          <w:lang w:val="en-US" w:eastAsia="zh-CN"/>
          <w14:ligatures w14:val="none"/>
        </w:rPr>
        <w:t>1.</w:t>
      </w:r>
      <w:r>
        <w:rPr>
          <w:rFonts w:hint="eastAsia" w:ascii="仿宋_GB2312" w:hAnsi="黑体" w:eastAsia="仿宋_GB2312" w:cs="Times New Roman"/>
          <w:color w:val="auto"/>
          <w:sz w:val="32"/>
          <w:szCs w:val="32"/>
          <w:highlight w:val="none"/>
          <w14:ligatures w14:val="none"/>
        </w:rPr>
        <w:t>本次未公开项目支出绩效目标表共有</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个，其中：上级转移支付项目</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个，涉及预算金额</w:t>
      </w:r>
      <w:r>
        <w:rPr>
          <w:rFonts w:hint="eastAsia" w:ascii="仿宋_GB2312" w:hAnsi="黑体" w:eastAsia="仿宋_GB2312" w:cs="Times New Roman"/>
          <w:color w:val="auto"/>
          <w:sz w:val="32"/>
          <w:szCs w:val="32"/>
          <w:highlight w:val="none"/>
          <w:lang w:val="en-US" w:eastAsia="zh-CN"/>
          <w14:ligatures w14:val="none"/>
        </w:rPr>
        <w:t>2.00</w:t>
      </w:r>
      <w:r>
        <w:rPr>
          <w:rFonts w:hint="eastAsia" w:ascii="仿宋_GB2312" w:hAnsi="黑体" w:eastAsia="仿宋_GB2312" w:cs="Times New Roman"/>
          <w:color w:val="auto"/>
          <w:sz w:val="32"/>
          <w:szCs w:val="32"/>
          <w:highlight w:val="none"/>
          <w14:ligatures w14:val="none"/>
        </w:rPr>
        <w:t>万元、绩效目标表完全不予公开。</w:t>
      </w:r>
      <w:bookmarkEnd w:id="0"/>
    </w:p>
    <w:p>
      <w:pPr>
        <w:spacing w:line="520" w:lineRule="exact"/>
        <w:ind w:firstLine="640" w:firstLineChars="200"/>
        <w:rPr>
          <w:rFonts w:hint="default" w:ascii="仿宋_GB2312" w:hAnsi="黑体" w:eastAsia="仿宋_GB2312" w:cs="Times New Roman"/>
          <w:color w:val="auto"/>
          <w:sz w:val="32"/>
          <w:szCs w:val="32"/>
          <w:highlight w:val="none"/>
          <w:lang w:val="en-US" w:eastAsia="zh-CN"/>
          <w14:ligatures w14:val="none"/>
        </w:rPr>
      </w:pPr>
      <w:r>
        <w:rPr>
          <w:rFonts w:hint="eastAsia" w:ascii="仿宋_GB2312" w:hAnsi="黑体" w:eastAsia="仿宋_GB2312" w:cs="Times New Roman"/>
          <w:color w:val="auto"/>
          <w:sz w:val="32"/>
          <w:szCs w:val="32"/>
          <w:highlight w:val="none"/>
          <w:lang w:val="en-US" w:eastAsia="zh-CN"/>
          <w14:ligatures w14:val="none"/>
        </w:rPr>
        <w:t>2.单位本年度</w:t>
      </w:r>
      <w:r>
        <w:rPr>
          <w:rFonts w:hint="eastAsia" w:ascii="仿宋_GB2312" w:hAnsi="黑体" w:eastAsia="仿宋_GB2312" w:cs="Times New Roman"/>
          <w:color w:val="auto"/>
          <w:sz w:val="32"/>
          <w:szCs w:val="32"/>
          <w:highlight w:val="none"/>
          <w14:ligatures w14:val="none"/>
        </w:rPr>
        <w:t>非财政拨款项目为1个，涉及资金为</w:t>
      </w:r>
      <w:r>
        <w:rPr>
          <w:rFonts w:hint="eastAsia" w:ascii="仿宋_GB2312" w:hAnsi="黑体" w:eastAsia="仿宋_GB2312" w:cs="Times New Roman"/>
          <w:color w:val="auto"/>
          <w:sz w:val="32"/>
          <w:szCs w:val="32"/>
          <w:highlight w:val="none"/>
          <w:lang w:val="en-US" w:eastAsia="zh-CN"/>
          <w14:ligatures w14:val="none"/>
        </w:rPr>
        <w:t>0.15</w:t>
      </w:r>
      <w:r>
        <w:rPr>
          <w:rFonts w:hint="eastAsia" w:ascii="仿宋_GB2312" w:hAnsi="黑体" w:eastAsia="仿宋_GB2312" w:cs="Times New Roman"/>
          <w:color w:val="auto"/>
          <w:sz w:val="32"/>
          <w:szCs w:val="32"/>
          <w:highlight w:val="none"/>
          <w14:ligatures w14:val="none"/>
        </w:rPr>
        <w:t>万元，绩效目标表未公开原因是单位资金用于运转类，绩效目标表不予公开。</w:t>
      </w:r>
    </w:p>
    <w:p>
      <w:pPr>
        <w:widowControl/>
        <w:spacing w:line="520" w:lineRule="exact"/>
        <w:ind w:firstLine="640" w:firstLineChars="200"/>
        <w:jc w:val="left"/>
        <w:rPr>
          <w:rFonts w:ascii="仿宋_GB2312" w:hAnsi="宋体" w:eastAsia="仿宋_GB2312" w:cs="宋体"/>
          <w:color w:val="auto"/>
          <w:kern w:val="0"/>
          <w:sz w:val="32"/>
          <w:szCs w:val="32"/>
          <w:highlight w:val="none"/>
        </w:rPr>
      </w:pP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righ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托克逊县医疗保障局</w:t>
      </w:r>
    </w:p>
    <w:p>
      <w:pPr>
        <w:widowControl/>
        <w:spacing w:line="520" w:lineRule="exact"/>
        <w:jc w:val="right"/>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pPr>
        <w:rPr>
          <w:color w:val="auto"/>
          <w:highlight w:val="none"/>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215C3"/>
    <w:rsid w:val="000B1A1E"/>
    <w:rsid w:val="000F3380"/>
    <w:rsid w:val="00236BE4"/>
    <w:rsid w:val="0027704B"/>
    <w:rsid w:val="003B5BC5"/>
    <w:rsid w:val="00606B44"/>
    <w:rsid w:val="0070042D"/>
    <w:rsid w:val="00903535"/>
    <w:rsid w:val="009D2DBC"/>
    <w:rsid w:val="009E0827"/>
    <w:rsid w:val="00A836C6"/>
    <w:rsid w:val="00AB2F7D"/>
    <w:rsid w:val="00AD5B30"/>
    <w:rsid w:val="00B12837"/>
    <w:rsid w:val="00ED7EDA"/>
    <w:rsid w:val="00FC7AF7"/>
    <w:rsid w:val="09B26440"/>
    <w:rsid w:val="0C7C0479"/>
    <w:rsid w:val="38D03E47"/>
    <w:rsid w:val="39CC27AF"/>
    <w:rsid w:val="3DDC7F8B"/>
    <w:rsid w:val="505C17AE"/>
    <w:rsid w:val="517B145D"/>
    <w:rsid w:val="540212FD"/>
    <w:rsid w:val="586E207E"/>
    <w:rsid w:val="6F536E80"/>
    <w:rsid w:val="74C8210A"/>
    <w:rsid w:val="75C5288E"/>
    <w:rsid w:val="776D7CA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2178</Words>
  <Characters>2343</Characters>
  <Lines>107</Lines>
  <Paragraphs>30</Paragraphs>
  <TotalTime>56</TotalTime>
  <ScaleCrop>false</ScaleCrop>
  <LinksUpToDate>false</LinksUpToDate>
  <CharactersWithSpaces>2413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C3A9A7C7D8254D04945D94D8411EBD42_13</vt:lpwstr>
  </property>
  <property fmtid="{D5CDD505-2E9C-101B-9397-08002B2CF9AE}" pid="4" name="KSOTemplateDocerSaveRecord">
    <vt:lpwstr>eyJoZGlkIjoiMTcwMGY5N2M4YzI3ODdkZTMzOGFhZTcwMTk4MTdlMjAiLCJ1c2VySWQiOiI0OTQ1NzM3OTEifQ==</vt:lpwstr>
  </property>
</Properties>
</file>